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afb"/>
        <w:spacing w:before="0"/>
        <w:ind w:left="0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  <w:object w:dxaOrig="4320" w:dyaOrig="4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42.00pt;height:50.25pt;mso-wrap-distance-left:0.00pt;mso-wrap-distance-top:0.00pt;mso-wrap-distance-right:0.00pt;mso-wrap-distance-bottom:0.00pt;" filled="f" stroked="f">
            <v:path textboxrect="0,0,0,0"/>
            <v:imagedata r:id="rId10" o:title=""/>
          </v:shape>
          <o:OLEObject DrawAspect="Content" r:id="rId11" ObjectID="_1525040" ProgID="Word.Document.12" ShapeID="_x0000_i0" Type="Embed"/>
        </w:object>
      </w:r>
    </w:p>
    <w:p>
      <w:pPr>
        <w:pStyle w:val="afb"/>
        <w:spacing w:before="0"/>
        <w:ind w:left="0"/>
        <w:jc w:val="center"/>
        <w:rPr>
          <w:sz w:val="28"/>
          <w:szCs w:val="28"/>
        </w:rPr>
      </w:pPr>
    </w:p>
    <w:p>
      <w:pPr>
        <w:pStyle w:val="afb"/>
        <w:spacing w:before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ИМУЩЕСТВА И ЗЕМЕЛЬНЫХ ОТНОШЕНИЙ </w:t>
      </w:r>
    </w:p>
    <w:p>
      <w:pPr>
        <w:pStyle w:val="afb"/>
        <w:spacing w:before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</w:t>
      </w:r>
    </w:p>
    <w:p>
      <w:pPr>
        <w:pStyle w:val="afb"/>
        <w:spacing w:before="0"/>
        <w:ind w:left="0" w:firstLine="709"/>
        <w:jc w:val="center"/>
        <w:rPr>
          <w:sz w:val="20"/>
          <w:szCs w:val="20"/>
        </w:rPr>
      </w:pPr>
    </w:p>
    <w:p>
      <w:pPr>
        <w:pStyle w:val="afb"/>
        <w:spacing w:before="0"/>
        <w:ind w:left="0" w:firstLine="709"/>
        <w:jc w:val="center"/>
        <w:rPr>
          <w:sz w:val="20"/>
          <w:szCs w:val="20"/>
        </w:rPr>
      </w:pPr>
    </w:p>
    <w:p>
      <w:pPr>
        <w:pStyle w:val="afb"/>
        <w:spacing w:before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закона Новосибирской области 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«О внесении изменений в Закон Новосибирской области «Об управлении и</w:t>
      </w:r>
      <w:bookmarkStart w:id="0" w:name="_GoBack"/>
      <w:bookmarkEnd w:id="0"/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 распоряжении государственной собственностью Новосибирской области»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Изменения в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Закон Новосибирской области </w:t>
      </w:r>
      <w:r>
        <w:rPr>
          <w:rFonts w:ascii="Times New Roman" w:hAnsi="Times New Roman"/>
          <w:sz w:val="28"/>
          <w:szCs w:val="28"/>
        </w:rPr>
        <w:t xml:space="preserve">от 06.07.2018 № 271</w:t>
      </w:r>
      <w:r>
        <w:rPr>
          <w:rFonts w:ascii="Times New Roman" w:hAnsi="Times New Roman"/>
          <w:sz w:val="28"/>
          <w:szCs w:val="28"/>
        </w:rPr>
        <w:noBreakHyphen/>
        <w:t xml:space="preserve">ОЗ «</w:t>
      </w:r>
      <w:r>
        <w:rPr>
          <w:rFonts w:ascii="Times New Roman" w:hAnsi="Times New Roman" w:eastAsia="Times New Roman"/>
          <w:sz w:val="28"/>
          <w:szCs w:val="28"/>
        </w:rPr>
        <w:t xml:space="preserve">Об управлении и распоряжении государственной собственностью Новосибирской области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Закон № 271-ОЗ) обусловлены: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 необходимостью реализации положений Жилищного кодекса Российской Федерации (далее – Жилищный кодекс) </w:t>
      </w:r>
      <w:r>
        <w:rPr>
          <w:rFonts w:ascii="Times New Roman" w:hAnsi="Times New Roman" w:eastAsia="Times New Roman"/>
          <w:sz w:val="28"/>
          <w:szCs w:val="28"/>
        </w:rPr>
        <w:t xml:space="preserve">относительно </w:t>
      </w:r>
      <w:r>
        <w:rPr>
          <w:rFonts w:ascii="Times New Roman" w:hAnsi="Times New Roman"/>
          <w:sz w:val="28"/>
          <w:szCs w:val="28"/>
          <w:lang w:eastAsia="ru-RU"/>
        </w:rPr>
        <w:t xml:space="preserve">жилых помещений в домах системы социального обслуживания граждан (статьи 96, 107 Жилищного кодекса) и жилых помещений для социальной защиты</w:t>
      </w:r>
      <w:r>
        <w:rPr>
          <w:rFonts w:ascii="Times New Roman" w:hAnsi="Times New Roman"/>
          <w:sz w:val="28"/>
          <w:szCs w:val="28"/>
          <w:lang w:eastAsia="ru-RU"/>
        </w:rPr>
        <w:t xml:space="preserve"> отдельных категорий граждан (статьи 98, 109 Жилищного кодекса), относящихся к </w:t>
      </w:r>
      <w:r>
        <w:rPr>
          <w:rFonts w:ascii="Times New Roman" w:hAnsi="Times New Roman" w:eastAsia="Times New Roman"/>
          <w:sz w:val="28"/>
          <w:szCs w:val="28"/>
        </w:rPr>
        <w:t xml:space="preserve">жилым помещениям специализированного жилищного фонда.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Жилищным кодексом предусмотрены полномочия органов государственной власти субъектов Российской Федерации в части специализи</w:t>
      </w:r>
      <w:r>
        <w:rPr>
          <w:rFonts w:ascii="Times New Roman" w:hAnsi="Times New Roman" w:eastAsia="Times New Roman"/>
          <w:sz w:val="28"/>
          <w:szCs w:val="28"/>
        </w:rPr>
        <w:t xml:space="preserve">рованного жилищного фонда, часть из которых не разграничена между органами государственной власти Новосибирской области.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К таким полномочиям относятся следующие полномочия: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установление категорий граждан, нуждающихся в специальной социальной защите (часть </w:t>
      </w:r>
      <w:r>
        <w:rPr>
          <w:rFonts w:ascii="Times New Roman" w:hAnsi="Times New Roman"/>
          <w:sz w:val="28"/>
          <w:szCs w:val="28"/>
          <w:lang w:eastAsia="ru-RU"/>
        </w:rPr>
        <w:t xml:space="preserve">2 статьи 98 Жилищного кодекса);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</w:rPr>
        <w:t xml:space="preserve">установление 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орядка, условий предоставления жилых помещений в домах системы социального обслуживания граждан и пользования такими жилыми помещениями (статья 107 Жилищного кодекса);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установление порядка и условий предоставле</w:t>
      </w:r>
      <w:r>
        <w:rPr>
          <w:rFonts w:ascii="Times New Roman" w:hAnsi="Times New Roman"/>
          <w:sz w:val="28"/>
          <w:szCs w:val="28"/>
          <w:lang w:eastAsia="ru-RU"/>
        </w:rPr>
        <w:t xml:space="preserve">ния жилых помещений для социальной защиты отдельных категорий граждан по договорам безвозмездного пользования (статья 109 Жилищного кодекса).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Кроме того, частью 6 статьи 156 Жилищного кодекса предусмотрено установление собственниками жилых помещений </w:t>
      </w:r>
      <w:bookmarkStart w:id="1" w:name="OLE_LINK13"/>
      <w:bookmarkStart w:id="2" w:name="OLE_LINK14"/>
      <w:r>
        <w:rPr>
          <w:rFonts w:ascii="Times New Roman" w:hAnsi="Times New Roman" w:eastAsia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орядк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 определения размера платы за жилое помещение для граждан, проживающих в жилых помещениях домов системы социального обслуживания, </w:t>
      </w:r>
      <w:bookmarkStart w:id="3" w:name="OLE_LINK11"/>
      <w:bookmarkStart w:id="4" w:name="OLE_LINK12"/>
      <w:r>
        <w:rPr>
          <w:rFonts w:ascii="Times New Roman" w:hAnsi="Times New Roman"/>
          <w:sz w:val="28"/>
          <w:szCs w:val="28"/>
          <w:lang w:eastAsia="ru-RU"/>
        </w:rPr>
        <w:t xml:space="preserve">в жилых помещениях фондов для временного поселения вынужденных переселенцев и лиц, признанных беженцами</w:t>
      </w:r>
      <w:bookmarkEnd w:id="3"/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,</w:t>
      </w:r>
      <w:bookmarkEnd w:id="1"/>
      <w:bookmarkEnd w:id="2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общежитиях, если 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одной комнате в общежитии проживают несколько граждан.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обеспечения реализации вышеуказанных положений Жилищного кодекса проектом закона Новосибирской области «О внесении изменений в Закон Новосибирской области «Об управлении и распоряжении государ</w:t>
      </w:r>
      <w:r>
        <w:rPr>
          <w:rFonts w:ascii="Times New Roman" w:hAnsi="Times New Roman"/>
          <w:sz w:val="28"/>
          <w:szCs w:val="28"/>
          <w:lang w:eastAsia="ru-RU"/>
        </w:rPr>
        <w:t xml:space="preserve">ственной собственностью Новосибирской области» (далее – проект закона) предлагается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вышеназванные полномочия закрепить за Правительством Новосибирской области.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Разработчиком указанных порядков (кроме порядка определения размера платы в общежитиях специализ</w:t>
      </w:r>
      <w:r>
        <w:rPr>
          <w:rFonts w:ascii="Times New Roman" w:hAnsi="Times New Roman"/>
          <w:sz w:val="28"/>
          <w:szCs w:val="28"/>
        </w:rPr>
        <w:t xml:space="preserve">ированного жилищного фонда Новосибирской области, если в одной комнате в общежитии проживают несколько граждан, </w:t>
      </w:r>
      <w:r>
        <w:rPr>
          <w:rFonts w:ascii="Times New Roman" w:hAnsi="Times New Roman"/>
          <w:sz w:val="28"/>
          <w:szCs w:val="28"/>
          <w:lang w:eastAsia="ru-RU"/>
        </w:rPr>
        <w:t xml:space="preserve">в жилых помещениях фондов для временного поселения вынужденных переселенцев и лиц, признанных беженцами</w:t>
      </w:r>
      <w:r>
        <w:rPr>
          <w:rFonts w:ascii="Times New Roman" w:hAnsi="Times New Roman"/>
          <w:sz w:val="28"/>
          <w:szCs w:val="28"/>
        </w:rPr>
        <w:t xml:space="preserve">) будет являться министерство труда и соц</w:t>
      </w:r>
      <w:r>
        <w:rPr>
          <w:rFonts w:ascii="Times New Roman" w:hAnsi="Times New Roman"/>
          <w:sz w:val="28"/>
          <w:szCs w:val="28"/>
        </w:rPr>
        <w:t xml:space="preserve">иального развития Новосибирской области. 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определения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размера платы за жилое помещение, находящееся в государственной собственности Новосибирской области, для граждан, проживающих в общежитиях, если в одной комнате в общежитии проживают несколько г</w:t>
      </w:r>
      <w:r>
        <w:rPr>
          <w:rFonts w:ascii="Times New Roman" w:hAnsi="Times New Roman"/>
          <w:sz w:val="28"/>
          <w:szCs w:val="28"/>
          <w:lang w:eastAsia="ru-RU"/>
        </w:rPr>
        <w:t xml:space="preserve">раждан, установлен постановлением Правительства Новосибирской области от 28.07.2014 № 298-п.</w:t>
      </w:r>
    </w:p>
    <w:p>
      <w:pPr>
        <w:tabs>
          <w:tab w:val="left" w:pos="81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Установление 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орядка определения размера платы за жилое помещение для граждан, проживающих </w:t>
      </w:r>
      <w:r>
        <w:rPr>
          <w:rFonts w:ascii="Times New Roman" w:hAnsi="Times New Roman"/>
          <w:sz w:val="28"/>
          <w:szCs w:val="28"/>
          <w:lang w:eastAsia="ru-RU"/>
        </w:rPr>
        <w:t xml:space="preserve">в жилых помещениях фондов для временного поселения вынужденных переселен</w:t>
      </w:r>
      <w:r>
        <w:rPr>
          <w:rFonts w:ascii="Times New Roman" w:hAnsi="Times New Roman"/>
          <w:sz w:val="28"/>
          <w:szCs w:val="28"/>
          <w:lang w:eastAsia="ru-RU"/>
        </w:rPr>
        <w:t xml:space="preserve">цев и лиц, признанных беженцами, не требуется, поскольку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со статьей 11 Федерального закона «О беженцах» и статьей 11 Закона Российской Федерации от 19.02.1993 № 4530-1 «О вынужденных переселенцах» указанные фонды формируются на федеральном у</w:t>
      </w:r>
      <w:r>
        <w:rPr>
          <w:rFonts w:ascii="Times New Roman" w:hAnsi="Times New Roman"/>
          <w:sz w:val="28"/>
          <w:szCs w:val="28"/>
        </w:rPr>
        <w:t xml:space="preserve">ровне;</w:t>
      </w:r>
    </w:p>
    <w:p>
      <w:pPr>
        <w:pStyle w:val="afb"/>
        <w:spacing w:before="0" w:line="288" w:lineRule="atLeast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2) принятием Федерального закона от 29.12.2025 № 542-ФЗ «О внесении изменений в статью 6 Федерального закона «О связи» (вступает в силу с 01.09.2026), согласно которому в случае, если недвижимое</w:t>
      </w:r>
      <w:r>
        <w:rPr>
          <w:sz w:val="28"/>
          <w:szCs w:val="28"/>
        </w:rPr>
        <w:t xml:space="preserve"> имущество (здания, опоры линий электропередачи, контактные сети железных дорог, столбовые опоры, мосты, коллекторы, туннели, в том числе туннели метрополитена, железные и автомобильные дороги и другие инженерные объекты и технологические площадки, а также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полосы отвода, в том числе полосы отвода железных дорог и автомобильных дорог) принадлежит субъекту Российской Федерации, договор о пользовании имуществом, находящимся в собственности субъекта Российской Федерации, заключается собственником или иным владе</w:t>
      </w:r>
      <w:r>
        <w:rPr>
          <w:sz w:val="28"/>
          <w:szCs w:val="28"/>
        </w:rPr>
        <w:t xml:space="preserve">льцем такого имущества, с организацией связи с учетом требований к условиям договора о пользовании имуществом, находящимся в государственной или муниципальной собственности, которые будут установлены Правительством Российской Федерации.</w:t>
      </w:r>
    </w:p>
    <w:p>
      <w:pPr>
        <w:pStyle w:val="afb"/>
        <w:spacing w:before="0" w:line="288" w:lineRule="atLeast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На основании изложе</w:t>
      </w:r>
      <w:r>
        <w:rPr>
          <w:sz w:val="28"/>
          <w:szCs w:val="28"/>
        </w:rPr>
        <w:t xml:space="preserve">нного проектом закона предлагается полномочие по </w:t>
      </w:r>
      <w:r>
        <w:rPr>
          <w:bCs/>
          <w:sz w:val="28"/>
          <w:szCs w:val="28"/>
        </w:rPr>
        <w:t xml:space="preserve">заключению договора о пользовании недвижимым имуществом, указанным в пункте 3 статьи 6 </w:t>
      </w:r>
      <w:r>
        <w:rPr>
          <w:sz w:val="28"/>
          <w:szCs w:val="28"/>
        </w:rPr>
        <w:t xml:space="preserve">Федерального закона от 07.07.2003 № 126-ФЗ «О связи» и составляющим казну Новосибирской области, с юридическим лицом, ос</w:t>
      </w:r>
      <w:r>
        <w:rPr>
          <w:sz w:val="28"/>
          <w:szCs w:val="28"/>
        </w:rPr>
        <w:t xml:space="preserve">уществляющим деятельность по строительству и (или) эксплуатации сооружений связи для размещения сетей связи оператором связи, закрепить за департаментом имущества и земельных отношений Новосибирской области</w:t>
      </w:r>
      <w:r>
        <w:rPr>
          <w:sz w:val="28"/>
          <w:szCs w:val="28"/>
        </w:rPr>
        <w:t xml:space="preserve">.</w:t>
      </w:r>
    </w:p>
    <w:p>
      <w:pPr>
        <w:pStyle w:val="afb"/>
        <w:spacing w:before="0" w:line="288" w:lineRule="atLeast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роектом закона предлагается </w:t>
      </w:r>
      <w:r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предусмотреть в </w:t>
      </w:r>
      <w:r>
        <w:rPr>
          <w:sz w:val="28"/>
          <w:szCs w:val="28"/>
        </w:rPr>
        <w:t xml:space="preserve">качестве случая, исключающего согласование отчуждения Законодательным Собранием Новосибирской области областного имущества балансовой (кадастровой) стоимостью более 10 миллионов рублей, отчуждение указанного имущества в </w:t>
      </w:r>
      <w:r>
        <w:rPr>
          <w:sz w:val="28"/>
          <w:szCs w:val="28"/>
        </w:rPr>
        <w:t xml:space="preserve">порядке, установленном Федеральным з</w:t>
      </w:r>
      <w:r>
        <w:rPr>
          <w:sz w:val="28"/>
          <w:szCs w:val="28"/>
        </w:rPr>
        <w:t xml:space="preserve">аконом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</w:t>
      </w:r>
      <w:r>
        <w:rPr>
          <w:sz w:val="28"/>
          <w:szCs w:val="28"/>
        </w:rPr>
        <w:t xml:space="preserve"> в отдельные</w:t>
      </w:r>
      <w:r>
        <w:rPr>
          <w:sz w:val="28"/>
          <w:szCs w:val="28"/>
        </w:rPr>
        <w:t xml:space="preserve"> законодательные акты Российской Федерации».</w:t>
      </w:r>
    </w:p>
    <w:p>
      <w:pPr>
        <w:pStyle w:val="afb"/>
        <w:spacing w:before="0" w:line="288" w:lineRule="atLeast"/>
        <w:ind w:firstLine="540"/>
        <w:rPr>
          <w:color w:val="0a0a0a"/>
          <w:sz w:val="28"/>
          <w:szCs w:val="28"/>
        </w:rPr>
      </w:pPr>
      <w:r>
        <w:rPr>
          <w:sz w:val="28"/>
          <w:szCs w:val="28"/>
        </w:rPr>
        <w:t xml:space="preserve">Изменение обусловлено приоритетом вышеуказанного Федерального закона, которым четко определены условия и порядок приватизации, исчерпывающий перечень оснований для отказа в приватизации (</w:t>
      </w:r>
      <w:r>
        <w:rPr>
          <w:color w:val="0a0a0a"/>
          <w:sz w:val="28"/>
          <w:szCs w:val="28"/>
          <w:shd w:val="clear" w:color="auto" w:fill="ffffff"/>
        </w:rPr>
        <w:t xml:space="preserve">наличие или отсутствие с</w:t>
      </w:r>
      <w:r>
        <w:rPr>
          <w:color w:val="0a0a0a"/>
          <w:sz w:val="28"/>
          <w:szCs w:val="28"/>
          <w:shd w:val="clear" w:color="auto" w:fill="ffffff"/>
        </w:rPr>
        <w:t xml:space="preserve">огласования со стороны законодательного (представительного) органа субъекта РФ в данный перечень не входит)</w:t>
      </w:r>
      <w:r>
        <w:rPr>
          <w:sz w:val="28"/>
          <w:szCs w:val="28"/>
        </w:rPr>
        <w:t xml:space="preserve">, а также сроки принятия соответствующих решений. </w:t>
      </w:r>
      <w:r>
        <w:rPr>
          <w:color w:val="0a0a0a"/>
          <w:sz w:val="28"/>
          <w:szCs w:val="28"/>
          <w:shd w:val="clear" w:color="auto" w:fill="ffffff"/>
        </w:rPr>
        <w:t xml:space="preserve">Данное изменение приводит региональное законодательство в строгое соответствие с </w:t>
      </w:r>
      <w:r>
        <w:rPr>
          <w:color w:val="0a0a0a"/>
          <w:sz w:val="28"/>
          <w:szCs w:val="28"/>
          <w:shd w:val="clear" w:color="auto" w:fill="ffffff"/>
        </w:rPr>
        <w:t xml:space="preserve">федеральным</w:t>
      </w:r>
      <w:r>
        <w:rPr>
          <w:color w:val="0a0a0a"/>
          <w:sz w:val="28"/>
          <w:szCs w:val="28"/>
          <w:shd w:val="clear" w:color="auto" w:fill="ffffff"/>
        </w:rPr>
        <w:t xml:space="preserve">, исключая избыточные административные барьеры.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закона состоит из двух статей.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Статьей 1 вносятся изменения в Закон № 271-ОЗ.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Статьей 2 устанавливается порядок вступления в силу закона.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 закона не подлежит оценке регулирующего воздействия, пос</w:t>
      </w:r>
      <w:r>
        <w:rPr>
          <w:rFonts w:ascii="Times New Roman" w:hAnsi="Times New Roman"/>
          <w:color w:val="000000"/>
          <w:sz w:val="28"/>
          <w:szCs w:val="28"/>
        </w:rPr>
        <w:t xml:space="preserve">кольку не устанавливает новые, не изменяет ранее предусмотренные нормативными правовыми актами Новосибирской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</w:t>
      </w:r>
      <w:r>
        <w:rPr>
          <w:rFonts w:ascii="Times New Roman" w:hAnsi="Times New Roman"/>
          <w:color w:val="000000"/>
          <w:sz w:val="28"/>
          <w:szCs w:val="28"/>
        </w:rPr>
        <w:t xml:space="preserve">твляется в рамках государственного контроля (надзора),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экспертиз;</w:t>
      </w:r>
      <w:r>
        <w:rPr>
          <w:rFonts w:ascii="Times New Roman" w:hAnsi="Times New Roman"/>
          <w:color w:val="000000"/>
          <w:sz w:val="28"/>
          <w:szCs w:val="28"/>
        </w:rPr>
        <w:t xml:space="preserve"> не устанавливает новые, не изменяет</w:t>
      </w:r>
      <w:r>
        <w:rPr>
          <w:rFonts w:ascii="Times New Roman" w:hAnsi="Times New Roman"/>
          <w:color w:val="000000"/>
          <w:sz w:val="28"/>
          <w:szCs w:val="28"/>
        </w:rPr>
        <w:t xml:space="preserve"> ранее предусмотренные нормативными правовыми актами обязанности и запреты для субъектов предпринимательской и инвестиционной деятельности; не устанавливает, не изменяет ответственность за нарушение нормативных правовых актов, затрагивающих вопросы осущест</w:t>
      </w:r>
      <w:r>
        <w:rPr>
          <w:rFonts w:ascii="Times New Roman" w:hAnsi="Times New Roman"/>
          <w:color w:val="000000"/>
          <w:sz w:val="28"/>
          <w:szCs w:val="28"/>
        </w:rPr>
        <w:t xml:space="preserve">вления предпринимательской и иной экономической деятельности.</w:t>
      </w: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Руководитель департамента                                                             Р.Г. Шилохвостов</w:t>
      </w:r>
    </w:p>
    <w:sectPr>
      <w:headerReference w:type="default" r:id="rId9"/>
      <w:pgSz w:w="11906" w:h="16838"/>
      <w:pgMar w:top="851" w:right="567" w:bottom="1105" w:left="1418" w:header="709" w:footer="709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DFBCBAEA">
      <w:start w:val="1"/>
      <w:numFmt w:val="decimal"/>
      <w:lvlText w:val="%1."/>
      <w:lvlJc w:val="left"/>
      <w:pPr>
        <w:ind w:left="1069" w:hanging="360"/>
      </w:pPr>
    </w:lvl>
    <w:lvl w:ilvl="1" w:tplc="4AE6CDB0">
      <w:start w:val="1"/>
      <w:numFmt w:val="lowerLetter"/>
      <w:lvlText w:val="%2."/>
      <w:lvlJc w:val="left"/>
      <w:pPr>
        <w:ind w:left="1789" w:hanging="360"/>
      </w:pPr>
    </w:lvl>
    <w:lvl w:ilvl="2" w:tplc="6316C188">
      <w:start w:val="1"/>
      <w:numFmt w:val="lowerRoman"/>
      <w:lvlText w:val="%3."/>
      <w:lvlJc w:val="right"/>
      <w:pPr>
        <w:ind w:left="2509" w:hanging="180"/>
      </w:pPr>
    </w:lvl>
    <w:lvl w:ilvl="3" w:tplc="25B63AE8">
      <w:start w:val="1"/>
      <w:numFmt w:val="decimal"/>
      <w:lvlText w:val="%4."/>
      <w:lvlJc w:val="left"/>
      <w:pPr>
        <w:ind w:left="3229" w:hanging="360"/>
      </w:pPr>
    </w:lvl>
    <w:lvl w:ilvl="4" w:tplc="418C2D6E">
      <w:start w:val="1"/>
      <w:numFmt w:val="lowerLetter"/>
      <w:lvlText w:val="%5."/>
      <w:lvlJc w:val="left"/>
      <w:pPr>
        <w:ind w:left="3949" w:hanging="360"/>
      </w:pPr>
    </w:lvl>
    <w:lvl w:ilvl="5" w:tplc="2364FEBC">
      <w:start w:val="1"/>
      <w:numFmt w:val="lowerRoman"/>
      <w:lvlText w:val="%6."/>
      <w:lvlJc w:val="right"/>
      <w:pPr>
        <w:ind w:left="4669" w:hanging="180"/>
      </w:pPr>
    </w:lvl>
    <w:lvl w:ilvl="6" w:tplc="12943F30">
      <w:start w:val="1"/>
      <w:numFmt w:val="decimal"/>
      <w:lvlText w:val="%7."/>
      <w:lvlJc w:val="left"/>
      <w:pPr>
        <w:ind w:left="5389" w:hanging="360"/>
      </w:pPr>
    </w:lvl>
    <w:lvl w:ilvl="7" w:tplc="734EFECA">
      <w:start w:val="1"/>
      <w:numFmt w:val="lowerLetter"/>
      <w:lvlText w:val="%8."/>
      <w:lvlJc w:val="left"/>
      <w:pPr>
        <w:ind w:left="6109" w:hanging="360"/>
      </w:pPr>
    </w:lvl>
    <w:lvl w:ilvl="8" w:tplc="2DFA234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 w:tplc="90D0259C">
      <w:start w:val="1"/>
      <w:numFmt w:val="decimal"/>
      <w:lvlText w:val="%1."/>
      <w:lvlJc w:val="left"/>
      <w:pPr>
        <w:ind w:left="1069" w:hanging="360"/>
      </w:pPr>
    </w:lvl>
    <w:lvl w:ilvl="1" w:tplc="37B6B3AA">
      <w:start w:val="1"/>
      <w:numFmt w:val="lowerLetter"/>
      <w:lvlText w:val="%2."/>
      <w:lvlJc w:val="left"/>
      <w:pPr>
        <w:ind w:left="1789" w:hanging="360"/>
      </w:pPr>
    </w:lvl>
    <w:lvl w:ilvl="2" w:tplc="FD7E73CC">
      <w:start w:val="1"/>
      <w:numFmt w:val="lowerRoman"/>
      <w:lvlText w:val="%3."/>
      <w:lvlJc w:val="right"/>
      <w:pPr>
        <w:ind w:left="2509" w:hanging="180"/>
      </w:pPr>
    </w:lvl>
    <w:lvl w:ilvl="3" w:tplc="FCD4D44C">
      <w:start w:val="1"/>
      <w:numFmt w:val="decimal"/>
      <w:lvlText w:val="%4."/>
      <w:lvlJc w:val="left"/>
      <w:pPr>
        <w:ind w:left="3229" w:hanging="360"/>
      </w:pPr>
    </w:lvl>
    <w:lvl w:ilvl="4" w:tplc="F8B620D6">
      <w:start w:val="1"/>
      <w:numFmt w:val="lowerLetter"/>
      <w:lvlText w:val="%5."/>
      <w:lvlJc w:val="left"/>
      <w:pPr>
        <w:ind w:left="3949" w:hanging="360"/>
      </w:pPr>
    </w:lvl>
    <w:lvl w:ilvl="5" w:tplc="12826882">
      <w:start w:val="1"/>
      <w:numFmt w:val="lowerRoman"/>
      <w:lvlText w:val="%6."/>
      <w:lvlJc w:val="right"/>
      <w:pPr>
        <w:ind w:left="4669" w:hanging="180"/>
      </w:pPr>
    </w:lvl>
    <w:lvl w:ilvl="6" w:tplc="C122C6DC">
      <w:start w:val="1"/>
      <w:numFmt w:val="decimal"/>
      <w:lvlText w:val="%7."/>
      <w:lvlJc w:val="left"/>
      <w:pPr>
        <w:ind w:left="5389" w:hanging="360"/>
      </w:pPr>
    </w:lvl>
    <w:lvl w:ilvl="7" w:tplc="9D2E6BB4">
      <w:start w:val="1"/>
      <w:numFmt w:val="lowerLetter"/>
      <w:lvlText w:val="%8."/>
      <w:lvlJc w:val="left"/>
      <w:pPr>
        <w:ind w:left="6109" w:hanging="360"/>
      </w:pPr>
    </w:lvl>
    <w:lvl w:ilvl="8" w:tplc="755E0BC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Heading1" w:customStyle="1">
    <w:name w:val="Heading 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Heading2" w:customStyle="1">
    <w:name w:val="Heading 2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Heading3" w:customStyle="1">
    <w:name w:val="Heading 3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Heading4" w:customStyle="1">
    <w:name w:val="Heading 4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 w:customStyle="1">
    <w:name w:val="Heading 5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 w:customStyle="1">
    <w:name w:val="Heading 6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Heading7" w:customStyle="1">
    <w:name w:val="Heading 7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Heading8" w:customStyle="1">
    <w:name w:val="Heading 8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Heading9" w:customStyle="1">
    <w:name w:val="Heading 9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Header" w:customStyle="1">
    <w:name w:val="Header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Footer" w:customStyle="1">
    <w:name w:val="Footer"/>
    <w:basedOn w:val="a"/>
    <w:link w:val="Foot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Caption" w:customStyle="1">
    <w:name w:val="Caption"/>
    <w:basedOn w:val="a"/>
    <w:next w:val="a"/>
    <w:link w:val="CaptionChar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styleId="PlainTable1" w:customStyle="1">
    <w:name w:val="Plain Table 1"/>
    <w:basedOn w:val="a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1Horz">
      <w:tcPr>
        <w:shd w:val="clear" w:color="f2f2f2" w:themeColor="text1" w:themeTint="00" w:fill="f2f2f2" w:themeFill="text1" w:themeFillTint="00"/>
      </w:tcPr>
    </w:tblStylePr>
  </w:style>
  <w:style w:type="table" w:styleId="PlainTable2" w:customStyle="1">
    <w:name w:val="Plain Table 2"/>
    <w:basedOn w:val="a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PlainTable3" w:customStyle="1">
    <w:name w:val="Plain Table 3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PlainTable4" w:customStyle="1">
    <w:name w:val="Plain Table 4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PlainTable5" w:customStyle="1">
    <w:name w:val="Plain Table 5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</w:style>
  <w:style w:type="table" w:styleId="GridTable1Light" w:customStyle="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2" w:customStyle="1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" w:customStyle="1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" w:customStyle="1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5Dark" w:customStyle="1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6Colorful" w:customStyle="1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 w:customStyle="1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 w:customStyle="1">
    <w:name w:val="List Table 1 Light"/>
    <w:basedOn w:val="a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2" w:customStyle="1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3" w:customStyle="1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4" w:customStyle="1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5Dark" w:customStyle="1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6Colorful" w:customStyle="1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 w:customStyle="1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11" w:customStyle="1">
    <w:name w:val="Заголовок 11"/>
    <w:basedOn w:val="a"/>
    <w:next w:val="a"/>
    <w:link w:val="1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21" w:customStyle="1">
    <w:name w:val="Заголовок 21"/>
    <w:basedOn w:val="a"/>
    <w:next w:val="a"/>
    <w:link w:val="2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31" w:customStyle="1">
    <w:name w:val="Заголовок 31"/>
    <w:basedOn w:val="a"/>
    <w:next w:val="a"/>
    <w:link w:val="3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41" w:customStyle="1">
    <w:name w:val="Заголовок 41"/>
    <w:basedOn w:val="a"/>
    <w:next w:val="a"/>
    <w:link w:val="4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1" w:customStyle="1">
    <w:name w:val="Заголовок 51"/>
    <w:basedOn w:val="a"/>
    <w:next w:val="a"/>
    <w:link w:val="5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1" w:customStyle="1">
    <w:name w:val="Заголовок 61"/>
    <w:basedOn w:val="a"/>
    <w:next w:val="a"/>
    <w:link w:val="6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1" w:customStyle="1">
    <w:name w:val="Заголовок 71"/>
    <w:basedOn w:val="a"/>
    <w:next w:val="a"/>
    <w:link w:val="7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1" w:customStyle="1">
    <w:name w:val="Заголовок 81"/>
    <w:basedOn w:val="a"/>
    <w:next w:val="a"/>
    <w:link w:val="8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91" w:customStyle="1">
    <w:name w:val="Заголовок 91"/>
    <w:basedOn w:val="a"/>
    <w:next w:val="a"/>
    <w:link w:val="9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 w:customStyle="1">
    <w:name w:val="Heading 1 Char"/>
    <w:basedOn w:val="a0"/>
    <w:link w:val="Heading1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link w:val="Heading2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link w:val="Heading3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EndnoteTextChar" w:customStyle="1">
    <w:name w:val="Endnote Text Char"/>
    <w:uiPriority w:val="99"/>
    <w:rPr>
      <w:sz w:val="20"/>
    </w:rPr>
  </w:style>
  <w:style w:type="character" w:styleId="1" w:customStyle="1">
    <w:name w:val="Заголовок 1 Знак"/>
    <w:link w:val="11"/>
    <w:uiPriority w:val="9"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link w:val="21"/>
    <w:uiPriority w:val="9"/>
    <w:rPr>
      <w:rFonts w:ascii="Arial" w:hAnsi="Arial" w:eastAsia="Arial" w:cs="Arial"/>
      <w:sz w:val="34"/>
    </w:rPr>
  </w:style>
  <w:style w:type="character" w:styleId="3" w:customStyle="1">
    <w:name w:val="Заголовок 3 Знак"/>
    <w:link w:val="31"/>
    <w:uiPriority w:val="9"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link w:val="41"/>
    <w:uiPriority w:val="9"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link w:val="51"/>
    <w:uiPriority w:val="9"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link w:val="61"/>
    <w:uiPriority w:val="9"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link w:val="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link w:val="81"/>
    <w:uiPriority w:val="9"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link w:val="91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styleId="a6" w:customStyle="1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styleId="a8" w:customStyle="1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paragraph" w:styleId="10" w:customStyle="1">
    <w:name w:val="Верхний колонтитул1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styleId="HeaderChar" w:customStyle="1">
    <w:name w:val="Header Char"/>
    <w:link w:val="Header"/>
    <w:uiPriority w:val="99"/>
  </w:style>
  <w:style w:type="paragraph" w:styleId="12" w:customStyle="1">
    <w:name w:val="Нижний колонтитул1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styleId="FooterChar" w:customStyle="1">
    <w:name w:val="Footer Char"/>
    <w:link w:val="Footer"/>
    <w:uiPriority w:val="99"/>
  </w:style>
  <w:style w:type="paragraph" w:styleId="13" w:customStyle="1">
    <w:name w:val="Название объекта1"/>
    <w:basedOn w:val="a"/>
    <w:next w:val="a"/>
    <w:link w:val="CaptionChar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CaptionChar" w:customStyle="1">
    <w:name w:val="Caption Char"/>
    <w:link w:val="13"/>
    <w:uiPriority w:val="99"/>
  </w:style>
  <w:style w:type="table" w:styleId="ad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0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310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410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510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-11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1Light-Accent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1Light-Accent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1Light-Accent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1Light-Accent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1Light-Accent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1Light-Accent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21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2-Accent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2-Accent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2-Accent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2-Accent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2-Accent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2-Accent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31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3-Accent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3-Accent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3-Accent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3-Accent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3-Accent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3-Accent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41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4-Accent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4-Accent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4-Accent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4-Accent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4-Accent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4-Accent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51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GridTable5Dark-Accent1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GridTable5Dark-Accent2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GridTable5Dark-Accent3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GridTable5Dark-Accent4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GridTable5Dark-Accent5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GridTable5Dark-Accent6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-61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6Colorful-Accent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6Colorful-Accent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6Colorful-Accent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6Colorful-Accent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6Colorful-Accent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6Colorful-Accent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71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7Colorful-Accent1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7Colorful-Accent2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7Colorful-Accent3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7Colorful-Accent4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7Colorful-Accent5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GridTable7Colorful-Accent6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110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stTable1Light-Accent1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stTable1Light-Accent2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stTable1Light-Accent3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stTable1Light-Accent4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stTable1Light-Accent5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stTable1Light-Accent6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-210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2-Accent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2-Accent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2-Accent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2-Accent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2-Accent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2-Accent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310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3-Accent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3-Accent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3-Accent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3-Accent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3-Accent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3-Accent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410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4-Accent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4-Accent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4-Accent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4-Accent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4-Accent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4-Accent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510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ListTable5Dark-Accent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ListTable5Dark-Accent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ListTable5Dark-Accent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ListTable5Dark-Accent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ListTable5Dark-Accent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ListTable5Dark-Accent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-610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6Colorful-Accent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6Colorful-Accent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6Colorful-Accent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6Colorful-Accent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6Colorful-Accent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6Colorful-Accent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-710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7Colorful-Accent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7Colorful-Accent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7Colorful-Accent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7Colorful-Accent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7Colorful-Accent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stTable7Colorful-Accent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Lined-Accent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ned-Accent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ned-Accent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ned-Accent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ned-Accent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ned-Accent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Lined-Accent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BorderedLined-Accent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Lined-Accent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Lined-Accent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Lined-Accent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Lined-Accent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Lined-Accent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Lined-Accent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-Accent1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-Accent2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-Accent3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-Accent4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-Accent5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Bordered-Accent6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ae">
    <w:name w:val="Hyperlink"/>
    <w:uiPriority w:val="99"/>
    <w:semiHidden/>
    <w:unhideWhenUsed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Pr>
      <w:sz w:val="20"/>
      <w:szCs w:val="20"/>
    </w:rPr>
  </w:style>
  <w:style w:type="character" w:styleId="FootnoteTextChar" w:customStyle="1">
    <w:name w:val="Footnote Text Char"/>
    <w:uiPriority w:val="99"/>
    <w:rPr>
      <w:sz w:val="18"/>
    </w:rPr>
  </w:style>
  <w:style w:type="character" w:styleId="af1">
    <w:name w:val="footnote reference"/>
    <w:uiPriority w:val="99"/>
    <w:semiHidden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styleId="af3" w:customStyle="1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  <w:rPr>
      <w:lang w:eastAsia="zh-CN"/>
    </w:rPr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32">
    <w:name w:val="Body Text 3"/>
    <w:basedOn w:val="a"/>
    <w:link w:val="33"/>
    <w:uiPriority w:val="99"/>
    <w:unhideWhenUsed/>
    <w:pPr>
      <w:spacing w:after="120" w:line="240" w:lineRule="auto"/>
    </w:pPr>
    <w:rPr>
      <w:rFonts w:ascii="Times New Roman" w:hAnsi="Times New Roman" w:eastAsia="Times New Roman"/>
      <w:sz w:val="16"/>
      <w:szCs w:val="16"/>
      <w:lang w:val="en-US"/>
    </w:rPr>
  </w:style>
  <w:style w:type="character" w:styleId="33" w:customStyle="1">
    <w:name w:val="Основной текст 3 Знак"/>
    <w:link w:val="32"/>
    <w:uiPriority w:val="99"/>
    <w:rPr>
      <w:rFonts w:ascii="Times New Roman" w:hAnsi="Times New Roman" w:eastAsia="Times New Roman"/>
      <w:sz w:val="16"/>
      <w:szCs w:val="16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af8" w:customStyle="1">
    <w:name w:val="Текст выноски Знак"/>
    <w:link w:val="af7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af0" w:customStyle="1">
    <w:name w:val="Текст сноски Знак"/>
    <w:link w:val="af"/>
    <w:uiPriority w:val="99"/>
    <w:semiHidden/>
    <w:rPr>
      <w:lang w:eastAsia="en-US"/>
    </w:rPr>
  </w:style>
  <w:style w:type="paragraph" w:styleId="ConsPlusTitle" w:customStyle="1">
    <w:name w:val="ConsPlusTitle"/>
    <w:pPr>
      <w:widowControl w:val="off"/>
    </w:pPr>
    <w:rPr>
      <w:rFonts w:ascii="Arial" w:hAnsi="Arial" w:eastAsia="Times New Roman" w:cs="Arial"/>
      <w:b/>
      <w:bCs/>
    </w:rPr>
  </w:style>
  <w:style w:type="character" w:styleId="apple-converted-space" w:customStyle="1">
    <w:name w:val="apple-converted-space"/>
  </w:style>
  <w:style w:type="paragraph" w:styleId="ConsPlusNormal" w:customStyle="1">
    <w:name w:val="ConsPlusNormal"/>
    <w:rPr>
      <w:rFonts w:ascii="Times New Roman" w:hAnsi="Times New Roman"/>
      <w:sz w:val="28"/>
      <w:szCs w:val="28"/>
    </w:rPr>
  </w:style>
  <w:style w:type="paragraph" w:styleId="af9">
    <w:name w:val="Body Text Indent"/>
    <w:basedOn w:val="a"/>
    <w:link w:val="afa"/>
    <w:uiPriority w:val="99"/>
    <w:semiHidden/>
    <w:unhideWhenUsed/>
    <w:pPr>
      <w:spacing w:after="120"/>
      <w:ind w:left="283"/>
    </w:pPr>
  </w:style>
  <w:style w:type="character" w:styleId="afa" w:customStyle="1">
    <w:name w:val="Основной текст с отступом Знак"/>
    <w:link w:val="af9"/>
    <w:uiPriority w:val="99"/>
    <w:semiHidden/>
    <w:rPr>
      <w:sz w:val="22"/>
      <w:szCs w:val="22"/>
      <w:lang w:eastAsia="en-US"/>
    </w:rPr>
  </w:style>
  <w:style w:type="character" w:styleId="34" w:customStyle="1">
    <w:name w:val="Основной текст (3)_"/>
    <w:link w:val="3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styleId="35" w:customStyle="1">
    <w:name w:val="Основной текст (3)"/>
    <w:basedOn w:val="a"/>
    <w:link w:val="34"/>
    <w:pPr>
      <w:widowControl w:val="off"/>
      <w:shd w:val="clear" w:color="auto" w:fill="ffffff"/>
      <w:spacing w:before="600" w:after="300" w:line="322" w:lineRule="exact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styleId="afb">
    <w:name w:val="Normal (Web)"/>
    <w:basedOn w:val="a"/>
    <w:uiPriority w:val="99"/>
    <w:unhideWhenUsed/>
    <w:pPr>
      <w:spacing w:before="150" w:after="0" w:line="240" w:lineRule="auto"/>
      <w:ind w:left="150" w:right="150"/>
      <w:jc w:val="both"/>
    </w:pPr>
    <w:rPr>
      <w:rFonts w:ascii="Times New Roman" w:hAnsi="Times New Roman" w:eastAsia="Times New Roman"/>
      <w:sz w:val="17"/>
      <w:szCs w:val="17"/>
      <w:lang w:eastAsia="ru-RU"/>
    </w:rPr>
  </w:style>
  <w:style w:type="character" w:styleId="ab" w:customStyle="1">
    <w:name w:val="Верхний колонтитул Знак"/>
    <w:link w:val="10"/>
    <w:uiPriority w:val="99"/>
    <w:rPr>
      <w:sz w:val="22"/>
      <w:szCs w:val="22"/>
      <w:lang w:eastAsia="en-US"/>
    </w:rPr>
  </w:style>
  <w:style w:type="character" w:styleId="ac" w:customStyle="1">
    <w:name w:val="Нижний колонтитул Знак"/>
    <w:link w:val="12"/>
    <w:uiPriority w:val="99"/>
    <w:rPr>
      <w:sz w:val="22"/>
      <w:szCs w:val="22"/>
      <w:lang w:eastAsia="en-US"/>
    </w:rPr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styleId="afe" w:customStyle="1">
    <w:name w:val="Текст примечания Знак"/>
    <w:link w:val="afd"/>
    <w:uiPriority w:val="99"/>
    <w:semiHidden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styleId="aff0" w:customStyle="1">
    <w:name w:val="Тема примечания Знак"/>
    <w:link w:val="aff"/>
    <w:uiPriority w:val="99"/>
    <w:semiHidden/>
    <w:rPr>
      <w:b/>
      <w:bCs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wmf"/><Relationship Id="rId11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6167</Characters>
  <CharactersWithSpaces>7234</CharactersWithSpaces>
  <Company>АГНОиПНО</Company>
  <DocSecurity>0</DocSecurity>
  <HyperlinksChanged>false</HyperlinksChanged>
  <Lines>51</Lines>
  <LinksUpToDate>false</LinksUpToDate>
  <Pages>3</Pages>
  <Paragraphs>14</Paragraphs>
  <ScaleCrop>false</ScaleCrop>
  <SharedDoc>false</SharedDoc>
  <Template>Normal.dotm</Template>
  <TotalTime>2</TotalTime>
  <Words>1081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СОЦИАЛЬНОГО РАЗВИТИЯ</dc:title>
  <dc:subject/>
  <dc:creator>Гурьянова Надежда Васильевна</dc:creator>
  <cp:keywords/>
  <dc:description/>
  <cp:lastModifiedBy>runv@NSO.LOC</cp:lastModifiedBy>
  <cp:revision>10</cp:revision>
  <dcterms:created xsi:type="dcterms:W3CDTF">2026-04-02T07:01:00Z</dcterms:created>
  <dcterms:modified xsi:type="dcterms:W3CDTF">2026-04-08T02:49:00Z</dcterms:modified>
  <cp:version>983040</cp:version>
</cp:coreProperties>
</file>